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33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истца </w:t>
      </w:r>
      <w:r>
        <w:rPr>
          <w:rStyle w:val="cat-FIOgrp-3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редставителя истца </w:t>
      </w:r>
      <w:r>
        <w:rPr>
          <w:rStyle w:val="cat-FIOgrp-3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действующего на основании устного заявления истца,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Style w:val="cat-FIOgrp-3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представителя ответчика </w:t>
      </w:r>
      <w:r>
        <w:rPr>
          <w:rStyle w:val="cat-FIOgrp-3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3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действующего на основании письменного ходатайства,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8"/>
          <w:szCs w:val="28"/>
        </w:rPr>
        <w:t>536-2803/2025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FIOgrp-3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3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4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ущерба, причиненного повреждением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стец </w:t>
      </w:r>
      <w:r>
        <w:rPr>
          <w:rStyle w:val="cat-FIOgrp-3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с иском к </w:t>
      </w:r>
      <w:r>
        <w:rPr>
          <w:rStyle w:val="cat-FIOgrp-3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требованием о возмещении ущерба, причиненного повреждением имущества.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мотивированы тем,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ответчик </w:t>
      </w:r>
      <w:r>
        <w:rPr>
          <w:rStyle w:val="cat-FIOgrp-3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самовольно демонтировал деревянную лестницу на второй этаж гаражного бокса №32, расположенного в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принадлежащего истцу, отпилив от лестницы два куска,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значительно укоротив её по длине. В настоящее время лестница установлена практически вертикально, что препятствует безопасности доступу собственника гаража на второй этаж строения. Лестница была установлена истцом в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разрешения и согласия председателя правления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ходе проверки, проведенной сотрудниками полиции, ответчик признал свои противоправные действия и указал, что обрезал лестницу без какого- либо разрешения. Согласно отчету №018/24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подготовленного </w:t>
      </w:r>
      <w:r>
        <w:rPr>
          <w:rStyle w:val="cat-OrganizationNamegrp-64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противоправными действиями ответчика истцу причинен материальный ущерб </w:t>
      </w:r>
      <w:r>
        <w:rPr>
          <w:rFonts w:ascii="Times New Roman" w:eastAsia="Times New Roman" w:hAnsi="Times New Roman" w:cs="Times New Roman"/>
          <w:sz w:val="28"/>
          <w:szCs w:val="28"/>
        </w:rPr>
        <w:t>на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48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этом, истцом оплачены услуги оценщика в размере </w:t>
      </w:r>
      <w:r>
        <w:rPr>
          <w:rStyle w:val="cat-Sumgrp-49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взыскать с ответчика в свою пользу денежные средства в размере </w:t>
      </w:r>
      <w:r>
        <w:rPr>
          <w:rStyle w:val="cat-Sumgrp-50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счет возмещения ущерба, </w:t>
      </w:r>
      <w:r>
        <w:rPr>
          <w:rStyle w:val="cat-Sumgrp-4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компенсации услуг экспертной организации.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уточненных исковых требований, истец просит взыскать с </w:t>
      </w:r>
      <w:r>
        <w:rPr>
          <w:rStyle w:val="cat-FIOgrp-3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размере </w:t>
      </w:r>
      <w:r>
        <w:rPr>
          <w:rStyle w:val="cat-Sumgrp-51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возмещения причиненного ущерба, проценты за пользование чужими денежными средствами в порядке ст.395 ГК РФ за период с </w:t>
      </w:r>
      <w:r>
        <w:rPr>
          <w:rStyle w:val="cat-Dategrp-11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Style w:val="cat-Sumgrp-5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проценты за пользование чужими денежными средствами в порядке ст.395 ГК РФ за период со </w:t>
      </w:r>
      <w:r>
        <w:rPr>
          <w:rStyle w:val="cat-Dategrp-13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полного исполнения обязательства, начисляемые на сумму основного долга в размере </w:t>
      </w:r>
      <w:r>
        <w:rPr>
          <w:rStyle w:val="cat-Sumgrp-5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на проведение оценки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змера ущерба в сумме </w:t>
      </w:r>
      <w:r>
        <w:rPr>
          <w:rStyle w:val="cat-Sumgrp-49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услуг юриста в размере </w:t>
      </w:r>
      <w:r>
        <w:rPr>
          <w:rStyle w:val="cat-Sumgrp-53rplc-3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соответчика по делу привлечен собственник гаража №31 </w:t>
      </w:r>
      <w:r>
        <w:rPr>
          <w:rStyle w:val="cat-Addressgrp-3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Истец и его представитель настояли на удовлетворении требований. Истец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 пояснения согласно исковому заявления, дополнительно </w:t>
      </w:r>
      <w:r>
        <w:rPr>
          <w:rFonts w:ascii="Times New Roman" w:eastAsia="Times New Roman" w:hAnsi="Times New Roman" w:cs="Times New Roman"/>
          <w:sz w:val="28"/>
          <w:szCs w:val="28"/>
        </w:rPr>
        <w:t>указав</w:t>
      </w:r>
      <w:r>
        <w:rPr>
          <w:rFonts w:ascii="Times New Roman" w:eastAsia="Times New Roman" w:hAnsi="Times New Roman" w:cs="Times New Roman"/>
          <w:sz w:val="28"/>
          <w:szCs w:val="28"/>
        </w:rPr>
        <w:t>, что лестница после её повреждения ответчиком не пригодн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для использования, поэтому лестница 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используется, лежит на земле возле гаража. Для лестницы он покупал брус, доски, лотки, крепления, гвозди, оплачивал работу рабочим. Установил лестницу в </w:t>
      </w:r>
      <w:r>
        <w:rPr>
          <w:rStyle w:val="cat-Dategrp-15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</w:t>
      </w:r>
      <w:r>
        <w:rPr>
          <w:rStyle w:val="cat-Dategrp-16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он находился в отпуске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упруга сказала, что сосед спилил лестницу от основания, приставил ее ко второму этажу, она не смогла на нее подняться на второй этаж, лестница была крутая и не закреплена сверху, болталась, стояла на земле, отпиленные куски лежали рядом с лестницей на земле, верхняя часть лестницы была спилена, если ее поставить на место не хватит ее длины чтобы укрепить,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достанет до второго этажа,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 не пробовал ремонтировать и ставить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место,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eastAsia="Times New Roman" w:hAnsi="Times New Roman" w:cs="Times New Roman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аться данной лестницей опасно,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 пробовал </w:t>
      </w:r>
      <w:r>
        <w:rPr>
          <w:rFonts w:ascii="Times New Roman" w:eastAsia="Times New Roman" w:hAnsi="Times New Roman" w:cs="Times New Roman"/>
          <w:sz w:val="28"/>
          <w:szCs w:val="28"/>
        </w:rPr>
        <w:t>по ней взбираться на второй этаж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лестница </w:t>
      </w:r>
      <w:r>
        <w:rPr>
          <w:rFonts w:ascii="Times New Roman" w:eastAsia="Times New Roman" w:hAnsi="Times New Roman" w:cs="Times New Roman"/>
          <w:sz w:val="28"/>
          <w:szCs w:val="28"/>
        </w:rPr>
        <w:t>не устойчива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он установил новую лестницу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Style w:val="cat-FIOgrp-36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выми требованиями не согласился, пояснил, что лестница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истцом </w:t>
      </w:r>
      <w:r>
        <w:rPr>
          <w:rFonts w:ascii="Times New Roman" w:eastAsia="Times New Roman" w:hAnsi="Times New Roman" w:cs="Times New Roman"/>
          <w:sz w:val="28"/>
          <w:szCs w:val="28"/>
        </w:rPr>
        <w:t>самовольно, 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собственником лестницы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известно. Гараж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№31 </w:t>
      </w:r>
      <w:r>
        <w:rPr>
          <w:rStyle w:val="cat-Addressgrp-3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матери </w:t>
      </w:r>
      <w:r>
        <w:rPr>
          <w:rStyle w:val="cat-FIOgrp-40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Dategrp-17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ими было принято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 капитального ремонта гаража: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утепления фасада и его облицовки.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этом, в</w:t>
      </w:r>
      <w:r>
        <w:rPr>
          <w:rFonts w:ascii="Times New Roman" w:eastAsia="Times New Roman" w:hAnsi="Times New Roman" w:cs="Times New Roman"/>
          <w:sz w:val="28"/>
          <w:szCs w:val="28"/>
        </w:rPr>
        <w:t>плотную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фасаду их гаража была установлена лестница, ограни</w:t>
      </w:r>
      <w:r>
        <w:rPr>
          <w:rFonts w:ascii="Times New Roman" w:eastAsia="Times New Roman" w:hAnsi="Times New Roman" w:cs="Times New Roman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вающая возможность ремонта фасада. Нанятые им рабочие при проведении ремонта передвинули лестницу, укрепили её, после чего она стала </w:t>
      </w:r>
      <w:r>
        <w:rPr>
          <w:rFonts w:ascii="Times New Roman" w:eastAsia="Times New Roman" w:hAnsi="Times New Roman" w:cs="Times New Roman"/>
          <w:sz w:val="28"/>
          <w:szCs w:val="28"/>
        </w:rPr>
        <w:t>более вертикальной</w:t>
      </w:r>
      <w:r>
        <w:rPr>
          <w:rFonts w:ascii="Times New Roman" w:eastAsia="Times New Roman" w:hAnsi="Times New Roman" w:cs="Times New Roman"/>
          <w:sz w:val="28"/>
          <w:szCs w:val="28"/>
        </w:rPr>
        <w:t>, но при этом потребительские свойства лестницы не нар</w:t>
      </w:r>
      <w:r>
        <w:rPr>
          <w:rFonts w:ascii="Times New Roman" w:eastAsia="Times New Roman" w:hAnsi="Times New Roman" w:cs="Times New Roman"/>
          <w:sz w:val="28"/>
          <w:szCs w:val="28"/>
        </w:rPr>
        <w:t>ушены, так как, он сам ходил по этой лестнице.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начала судебного заседания </w:t>
      </w:r>
      <w:r>
        <w:rPr>
          <w:rStyle w:val="cat-FIOgrp-36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возражения на иск, согласно которым </w:t>
      </w:r>
      <w:r>
        <w:rPr>
          <w:rStyle w:val="cat-FIOgrp-40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на праве собственности земельный участок и гараж №31 ряд №12 в гаражном кооперативе «Обь», граничащий с гаражом, принадлежащим истцу. В </w:t>
      </w:r>
      <w:r>
        <w:rPr>
          <w:rStyle w:val="cat-Dategrp-17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совместно с </w:t>
      </w:r>
      <w:r>
        <w:rPr>
          <w:rStyle w:val="cat-FIOgrp-42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о проведении работ по капитальному ремонту гаража, включающего в себя утепление фасада и его облицовки. Вплотную к фасаду (наружной стене) была установлена деревянная лестница, ведущая на второй этаж соседнего гаража №32, которая ограничивала возможность эксплуатации его гаража, должного открытия гаражных ворот и подъезда к нему. В силу требований ст.11 Федерального закона №338-ФЗ от </w:t>
      </w:r>
      <w:r>
        <w:rPr>
          <w:rStyle w:val="cat-Dategrp-18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№О гаражных объединениях и о внесении изменений в отдельные законодательные акты Российской Федерации» собственники гаражей свободно использовать земельные участки общего назначения в границах территории гаражного назначения для прохода и проезда к своим земельным участкам. Никто не вправе чинить препятствия правообладателям земельных участков, предназначенных для размещения гаражей в границах территории гаражного назначения, в использовании земельного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 общего назначения в границах территории гаражного назначения. В соответствии с п.12 </w:t>
      </w:r>
      <w:r>
        <w:rPr>
          <w:rStyle w:val="cat-Addressgrp-4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 </w:t>
      </w:r>
      <w:r>
        <w:rPr>
          <w:rStyle w:val="cat-Addressgrp-5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кса РФ правообладатели земельных участков,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расположенных в границах территории гаражного кооператив, вправе использовать земельные участки общего назначения в границах такой территории для прохода и проезда к свои земельным участкам свободно. Никто не вправе ограничивать доступ правообладателей гаражей к принадлежащим им земельным участкам, а также ограничивать обслуживание и эксплуатацию гаража. Лестница установлена на территории общего пользования без каких-либо разрешающих документов и подтверждающих право на её установку, нарушала правовой режим земельного участка, была установлена самовольно вплотную к гаражу №31, препятствовала проведению ремонтных работ, подходу, подъезду и дальнейшей эксплуатации гаража. В связи с чем, им было принято решение о переносе существующей лестницы без утраты её (уничтожения) потребительских свойств и назначения, при этом, входу на второй этаж был сохранен. Истец им был предупрежден о необходимости переноса лестницы, однако никаких действий со стороны истца не принято, что подтверждается скриншотами их с истцом переписке в «вайбере». Рабочие осуществили перенос лестницы для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лнения работ по ремонту гаража. </w:t>
      </w:r>
      <w:r>
        <w:rPr>
          <w:rFonts w:ascii="Times New Roman" w:eastAsia="Times New Roman" w:hAnsi="Times New Roman" w:cs="Times New Roman"/>
          <w:sz w:val="28"/>
          <w:szCs w:val="28"/>
        </w:rPr>
        <w:t>Его вина в демонтаже лестницы 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дополнениях к возражению на исковое заявление </w:t>
      </w:r>
      <w:r>
        <w:rPr>
          <w:rStyle w:val="cat-FIOgrp-36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указал, что лестница была размещена на земельном участке (земли общего пользования), предоставленном в аренду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Департаментом муниципальной собств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енности Администрации </w:t>
      </w:r>
      <w:r>
        <w:rPr>
          <w:rStyle w:val="cat-Addressgrp-0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разрешенным использованием «для целей, не связанных со строительством, для обеспечения проезда», что подтверждается копией договора аренды земельного участка №А3-1/2015-30 от </w:t>
      </w:r>
      <w:r>
        <w:rPr>
          <w:rStyle w:val="cat-Dategrp-19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копией публичной кадастровой карты. Согласно п.2.2.1 договора аренды арендатор вправе использовать земельный участок исключительно согласно разрешенному использованию земельного участка, то есть по целевому назначению. В этой связи доводы истца о том, что лестница была им установлена с разрешения председателя </w:t>
      </w:r>
      <w:r>
        <w:rPr>
          <w:rStyle w:val="cat-Addressgrp-3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ответчик считает несостоятельными и противоречащими действующему законодательству.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4" w:anchor="/document/12128809/entry/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ст.ст.12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8809/entry/5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8809/entry/5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ст.55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8809/entry/6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ст.67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 суд оценивает доказательства по внутреннему убеждению, основанному на беспристрастном, всестороннем и полном рассмотрении имеющихся доказательств в их совокупности.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Разрешая заявленные исковые требования, анализируя все представленные доказательства в их совокупности, по своему внутреннему убеждению,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основанному на всестороннем, полном, объективном и непосредственном исследовании имеющихся в деле доказательств, принимая во внимание установленные по делу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выводу о частичном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>, исходя из следующего.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 Гражданского кодекса Российской Федерации (далее-ГК РФ)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лицо, право которого нарушено, может требовать </w:t>
      </w:r>
      <w:hyperlink r:id="rId5" w:anchor="/document/71100882/entry/1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полного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возмещения причиненных ему убытков, если законом или договором не предусмотрено возмещение убытков в меньшем размере.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6" w:anchor="/document/10164072/entry/106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1064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ГК РФ вред, причиненный личности или имуществу гражданина,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Пленума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 суда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Федерации, данным в пунктах 11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постановления от </w:t>
      </w:r>
      <w:r>
        <w:rPr>
          <w:rStyle w:val="cat-Dategrp-20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№25 «О применении судами некоторых положений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первой Гражданского кодекса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рименяя </w:t>
      </w:r>
      <w:hyperlink r:id="rId6" w:anchor="/document/10164072/entry/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статью 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РФ, следует учитывать, что по общему правилу лицо, право которого нарушено, может требовать полного возмещения причиненных ему убытков. Возмещение убытков в меньшем размере возможно в случаях, предусмотренных законом или договором в пределах,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х гражданским законодательством (п.11 постановления)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делам о возмещении убытков истец обязан доказать, что ответчик является лицом, в результате действий (бездействия) которого возник ущерб, а также факты нарушения обязательства или причинения вреда, наличие убытков (</w:t>
      </w:r>
      <w:hyperlink r:id="rId6" w:anchor="/document/10164072/entry/15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 2 статьи 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 подлежащих возмещению убытков должен быть установлен с разумной степенью достоверности. По смыслу </w:t>
      </w:r>
      <w:hyperlink r:id="rId6" w:anchor="/document/10164072/entry/1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 статьи 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 в удовлетворении требования о возмещении убытков не может быть отказано только на том основании, что их точный размер невозможно установить. В этом случае размер подлежащих возмещению убытков определяется судом с учетом всех обстоятельств дела, исходя из принципов справедливости и соразмерности ответственности допущенному нарушению.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вины доказывается лицом, нарушившим обязательство (</w:t>
      </w:r>
      <w:hyperlink r:id="rId6" w:anchor="/document/10164072/entry/40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 2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401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РФ). По общему правилу лицо, причинившее вред, освобождается от возмещения вреда, если докажет, что вред причинен не по его вине (</w:t>
      </w:r>
      <w:hyperlink r:id="rId6" w:anchor="/document/10164072/entry/1064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 2 статьи 1064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РФ). Бремя доказывания своей невиновности лежит на лице, нарушившем обязательство или причинившем вред. Вина в нарушении обязательства или в причинении вреда предполага</w:t>
      </w:r>
      <w:r>
        <w:rPr>
          <w:rFonts w:ascii="Times New Roman" w:eastAsia="Times New Roman" w:hAnsi="Times New Roman" w:cs="Times New Roman"/>
          <w:sz w:val="28"/>
          <w:szCs w:val="28"/>
        </w:rPr>
        <w:t>ется, пока не доказано обратное (п.12 постановления).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обращении с иском о взыскании убытков истец обязан доказать сам факт причинения убытков и наличие причинной связи между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действиями (бездействием) причинителя вреда и наступившими последствиями, в то время как обязанность по доказыванию отсутствия вины в причинении убытков лежит на привлекаемом к гражданско-правовой ответственности лице.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anchor="/document/10164072/entry/10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1082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ГК РФ, удовлетворяя требование о возмещении вреда, суд в соответствии с обстоятельствами дела обязывает лицо, ответственное за причинение вреда, возместить вред в натуре (предоставить вещь того же рода и качества, исправить поврежденную вещь и т.п.) или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зместить причиненные убытки (пункт 2 статьи </w:t>
      </w:r>
      <w:r>
        <w:rPr>
          <w:rFonts w:ascii="Times New Roman" w:eastAsia="Times New Roman" w:hAnsi="Times New Roman" w:cs="Times New Roman"/>
          <w:sz w:val="28"/>
          <w:szCs w:val="28"/>
        </w:rPr>
        <w:t>15).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аседании установлено, что </w:t>
      </w:r>
      <w:r>
        <w:rPr>
          <w:rStyle w:val="cat-FIOgrp-34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собственником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гаражного бокса №32 ряд №12 в </w:t>
      </w:r>
      <w:r>
        <w:rPr>
          <w:rStyle w:val="cat-Addressgrp-3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собственником </w:t>
      </w:r>
      <w:r>
        <w:rPr>
          <w:rFonts w:ascii="Times New Roman" w:eastAsia="Times New Roman" w:hAnsi="Times New Roman" w:cs="Times New Roman"/>
          <w:sz w:val="28"/>
          <w:szCs w:val="28"/>
        </w:rPr>
        <w:t>деревянной лестницы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(из бруса)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 им в </w:t>
      </w:r>
      <w:r>
        <w:rPr>
          <w:rStyle w:val="cat-Dategrp-9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ведущей на второй этаж данного гаражного бокса.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 обратного стороной ответчика суду не представлено.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мая-июня </w:t>
      </w:r>
      <w:r>
        <w:rPr>
          <w:rStyle w:val="cat-Dategrp-21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ответчик </w:t>
      </w:r>
      <w:r>
        <w:rPr>
          <w:rStyle w:val="cat-FIOgrp-36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осуществляя ремонт гаражного бокса №31 в </w:t>
      </w:r>
      <w:r>
        <w:rPr>
          <w:rStyle w:val="cat-Addressgrp-3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произвел демонтаж деревянной лестницы, ведущей на второй этаж гаражного бокса №32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отпиливания нижней и верхней частей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лестн</w:t>
      </w:r>
      <w:r>
        <w:rPr>
          <w:rFonts w:ascii="Times New Roman" w:eastAsia="Times New Roman" w:hAnsi="Times New Roman" w:cs="Times New Roman"/>
          <w:sz w:val="28"/>
          <w:szCs w:val="28"/>
        </w:rPr>
        <w:t>ицы, укоротив её по длине.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не оспари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ваются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 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подтверждены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материалом проверки, проведенной сотрудниками </w:t>
      </w:r>
      <w:r>
        <w:rPr>
          <w:rStyle w:val="cat-FIOgrp-43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«Ханты-Мансийский»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ст.144 УПК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заявлению </w:t>
      </w:r>
      <w:r>
        <w:rPr>
          <w:rStyle w:val="cat-FIOgrp-34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в КУСП №24584 от </w:t>
      </w:r>
      <w:r>
        <w:rPr>
          <w:rStyle w:val="cat-Dategrp-22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результатам которой </w:t>
      </w:r>
      <w:r>
        <w:rPr>
          <w:rStyle w:val="cat-Dategrp-23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об отказе в возбуждении уголовного дела, в связи с отсутствием в действиях </w:t>
      </w:r>
      <w:r>
        <w:rPr>
          <w:rStyle w:val="cat-FIOgrp-36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преступления, предусмотренного ст167 УК РФ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из объяснений </w:t>
      </w:r>
      <w:r>
        <w:rPr>
          <w:rStyle w:val="cat-FIOgrp-36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данных сотрудникам полиции в ходе проверки по сообщению </w:t>
      </w:r>
      <w:r>
        <w:rPr>
          <w:rStyle w:val="cat-FIOgrp-34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следует, что деревянная лестница, установленная </w:t>
      </w:r>
      <w:r>
        <w:rPr>
          <w:rStyle w:val="cat-FIOgrp-34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ведущая на второй этаж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гаража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вплотную примыкала к несущей стене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FIOgrp-36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гаражного бокса, что мешало производить работы по капитальному ремонту, по утеплению и монтажу фасадной конструкции, в связи с чем, об обращался неоднократно к </w:t>
      </w:r>
      <w:r>
        <w:rPr>
          <w:rStyle w:val="cat-FIOgrp-44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он отодвинул лестницу от стены его гаража, но </w:t>
      </w:r>
      <w:r>
        <w:rPr>
          <w:rStyle w:val="cat-FIOgrp-44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никаких не реагировал. И тогда в начале </w:t>
      </w:r>
      <w:r>
        <w:rPr>
          <w:rStyle w:val="cat-Dategrp-24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решил сместить данную лестницу от границы несущей стены своего гаража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немного подпил</w:t>
      </w:r>
      <w:r>
        <w:rPr>
          <w:rFonts w:ascii="Times New Roman" w:eastAsia="Times New Roman" w:hAnsi="Times New Roman" w:cs="Times New Roman"/>
          <w:sz w:val="28"/>
          <w:szCs w:val="28"/>
        </w:rPr>
        <w:t>ив края лестницы в нижней части.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судом установлено, и не оспаривается сторонами, что лестница, принадлежащая </w:t>
      </w:r>
      <w:r>
        <w:rPr>
          <w:rStyle w:val="cat-FIOgrp-34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повреждена </w:t>
      </w:r>
      <w:r>
        <w:rPr>
          <w:rStyle w:val="cat-FIOgrp-36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36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лестницу демонтировали рабочие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освобождает ответчика </w:t>
      </w:r>
      <w:r>
        <w:rPr>
          <w:rStyle w:val="cat-FIOgrp-36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гражданско-правовой ответственности за вред, причиненный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третьими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его ведома и под его контролем.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того, что имуществу истца причинен вред не по вине ответчика </w:t>
      </w:r>
      <w:r>
        <w:rPr>
          <w:rStyle w:val="cat-FIOgrp-36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ответчика о том, что лестница была установлена с нарушением норм градостроительного законодательства не имеет отношения к рассматриваемому спору, так как,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предоставляло ответчику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наносить ущерб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имуществу </w:t>
      </w:r>
      <w:r>
        <w:rPr>
          <w:rStyle w:val="cat-FIOgrp-44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размера ущерба истец обратился в </w:t>
      </w:r>
      <w:r>
        <w:rPr>
          <w:rStyle w:val="cat-OrganizationNamegrp-64rplc-8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согласно заключению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ущерба, причиненного в результате противоправных действий третьих лиц, улучшению недвижимого имущества гаража-лестницы на второй этаж без учета износа составляет </w:t>
      </w:r>
      <w:r>
        <w:rPr>
          <w:rStyle w:val="cat-Sumgrp-48rplc-8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Услуги оценщика истцом оплачены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49rplc-8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копией кассового чека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заседания проведена судебная строительная экспертиза, проведение которой поручено </w:t>
      </w:r>
      <w:r>
        <w:rPr>
          <w:rStyle w:val="cat-OrganizationNamegrp-65rplc-8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заключению эксперта №424/</w:t>
      </w:r>
      <w:r>
        <w:rPr>
          <w:rStyle w:val="cat-Dategrp-26rplc-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/ЭЗ от </w:t>
      </w:r>
      <w:r>
        <w:rPr>
          <w:rStyle w:val="cat-Dategrp-27rplc-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рыночная стоимость величины ущерба, определенная затра</w:t>
      </w:r>
      <w:r>
        <w:rPr>
          <w:rFonts w:ascii="Times New Roman" w:eastAsia="Times New Roman" w:hAnsi="Times New Roman" w:cs="Times New Roman"/>
          <w:sz w:val="28"/>
          <w:szCs w:val="28"/>
        </w:rPr>
        <w:t>тным подходом, без учета износа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оставила </w:t>
      </w:r>
      <w:r>
        <w:rPr>
          <w:rStyle w:val="cat-Sumgrp-51rplc-9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рыночная стоимость величины ущерба, определенная затратным подходом, с учетом износа, составила </w:t>
      </w:r>
      <w:r>
        <w:rPr>
          <w:rStyle w:val="cat-Sumgrp-54rplc-9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Перенос деревянной лестницы привел к невозможности продолжения эксплуатации данной ле</w:t>
      </w:r>
      <w:r>
        <w:rPr>
          <w:rFonts w:ascii="Times New Roman" w:eastAsia="Times New Roman" w:hAnsi="Times New Roman" w:cs="Times New Roman"/>
          <w:sz w:val="28"/>
          <w:szCs w:val="28"/>
        </w:rPr>
        <w:t>стницы ввиду смещения основания, изменения угла наклона и отсутствия надлежащего крепления.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 </w:t>
      </w:r>
      <w:r>
        <w:rPr>
          <w:rStyle w:val="cat-FIOgrp-45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экспертизы выезжал на место, осматривал лестницу, которая находилась в горизонтальном полож</w:t>
      </w:r>
      <w:r>
        <w:rPr>
          <w:rFonts w:ascii="Times New Roman" w:eastAsia="Times New Roman" w:hAnsi="Times New Roman" w:cs="Times New Roman"/>
          <w:sz w:val="28"/>
          <w:szCs w:val="28"/>
        </w:rPr>
        <w:t>ении и лежала на земле, лестница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демонтирована с места бывшего расположения, ранее у лестницы была прочная привязка к земле, з</w:t>
      </w:r>
      <w:r>
        <w:rPr>
          <w:rFonts w:ascii="Times New Roman" w:eastAsia="Times New Roman" w:hAnsi="Times New Roman" w:cs="Times New Roman"/>
          <w:sz w:val="28"/>
          <w:szCs w:val="28"/>
        </w:rPr>
        <w:t>абетонировано основание в земле.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естница стояла у гаража, остались места крепления где была установлена лестница, торчали забетонированные куски бруса, а также на самой лестнице видны были спилы. Вследствие демонтажа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лестницы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другом месте и при других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представляется возможным, так как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построена индивидуально для этого гаража, при данных размерах и при данной высоте, учитывала уклон ступеней для комфортного подъема и спуска, то есть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представляются варианты использования данной лестницы на других объектах, при возможном изменении конструкции лестницы применении на данном объекте и площадке второго этажа гаража возможно, но если взять эту лестницу и вернуть обратно не представляется возможным, данная лестница представляет собой строительный материал ввиду нарушения её целостности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икакой строитель не возьмётся восстановить нарушенную лестницу, нужно будет осуществить привязку к земле, укрепить дополнительными брусками, накладками, дополнительно забетонировать, </w:t>
      </w:r>
      <w:r>
        <w:rPr>
          <w:rFonts w:ascii="Times New Roman" w:eastAsia="Times New Roman" w:hAnsi="Times New Roman" w:cs="Times New Roman"/>
          <w:sz w:val="28"/>
          <w:szCs w:val="28"/>
        </w:rPr>
        <w:t>что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нецелесообразны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риставив лестницу обратно при спиле часть материала нарушена длина лестницы, а если изменена длина лестницы изменен и угол наклона ступеней, что подвергает сомнению отно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сительно безопасности лестницы.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стоимости ущерба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использовал предложения трех основных магазинов, которы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находятся в </w:t>
      </w:r>
      <w:r>
        <w:rPr>
          <w:rStyle w:val="cat-Addressgrp-0rplc-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занимаются продажей пиломатериалов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>и при подборе аналогов применил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первые предложения, которые вышли на сайтах, при подборе аналогов </w:t>
      </w:r>
      <w:r>
        <w:rPr>
          <w:rFonts w:ascii="Times New Roman" w:eastAsia="Times New Roman" w:hAnsi="Times New Roman" w:cs="Times New Roman"/>
          <w:sz w:val="28"/>
          <w:szCs w:val="28"/>
        </w:rPr>
        <w:t>он подбирал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олее близкие по качеству, 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 в расчете лестницы стоимо</w:t>
      </w:r>
      <w:r>
        <w:rPr>
          <w:rFonts w:ascii="Times New Roman" w:eastAsia="Times New Roman" w:hAnsi="Times New Roman" w:cs="Times New Roman"/>
          <w:sz w:val="28"/>
          <w:szCs w:val="28"/>
        </w:rPr>
        <w:t>сть материалов менее существенна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стоимость работ и строительство лестницы, ценообразование и рыночная стоимость определены наиболее адекватные соответствующей рынку в </w:t>
      </w:r>
      <w:r>
        <w:rPr>
          <w:rStyle w:val="cat-Addressgrp-0rplc-9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Учитывая основной фактор, что целостность конструкции основн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элемента </w:t>
      </w:r>
      <w:r>
        <w:rPr>
          <w:rFonts w:ascii="Times New Roman" w:eastAsia="Times New Roman" w:hAnsi="Times New Roman" w:cs="Times New Roman"/>
          <w:sz w:val="28"/>
          <w:szCs w:val="28"/>
        </w:rPr>
        <w:t>лестницы бруса была повреждена</w:t>
      </w:r>
      <w:r>
        <w:rPr>
          <w:rFonts w:ascii="Times New Roman" w:eastAsia="Times New Roman" w:hAnsi="Times New Roman" w:cs="Times New Roman"/>
          <w:sz w:val="28"/>
          <w:szCs w:val="28"/>
        </w:rPr>
        <w:t>, не представляется возможным проведение сертифицированного или гарантированног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восстановления данного бруса.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обоснованным взыскание с ответчика </w:t>
      </w:r>
      <w:r>
        <w:rPr>
          <w:rStyle w:val="cat-FIOgrp-36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стоимости ущерба, причиненного в результате повреждения имущества </w:t>
      </w:r>
      <w:r>
        <w:rPr>
          <w:rStyle w:val="cat-FIOgrp-34rplc-9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55rplc-9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установленным заключением эксперта №</w:t>
      </w:r>
      <w:r>
        <w:rPr>
          <w:rFonts w:ascii="Times New Roman" w:eastAsia="Times New Roman" w:hAnsi="Times New Roman" w:cs="Times New Roman"/>
          <w:sz w:val="28"/>
          <w:szCs w:val="28"/>
        </w:rPr>
        <w:t>424/</w:t>
      </w:r>
      <w:r>
        <w:rPr>
          <w:rStyle w:val="cat-Dategrp-26rplc-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/ЭЗ от </w:t>
      </w:r>
      <w:r>
        <w:rPr>
          <w:rStyle w:val="cat-Dategrp-27rplc-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Стороной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</w:t>
      </w:r>
      <w:r>
        <w:rPr>
          <w:rFonts w:ascii="Times New Roman" w:eastAsia="Times New Roman" w:hAnsi="Times New Roman" w:cs="Times New Roman"/>
          <w:sz w:val="28"/>
          <w:szCs w:val="28"/>
        </w:rPr>
        <w:t>не опровергнут.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36rplc-1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после монтажа использование лестницы было возможно опровергаются заключением 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424/</w:t>
      </w:r>
      <w:r>
        <w:rPr>
          <w:rStyle w:val="cat-Dategrp-26rplc-1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/ЭЗ от </w:t>
      </w:r>
      <w:r>
        <w:rPr>
          <w:rStyle w:val="cat-Dategrp-27rplc-1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показаниями эксперта.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взыскания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стоимости причиненного ущерба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ответчика </w:t>
      </w:r>
      <w:r>
        <w:rPr>
          <w:rStyle w:val="cat-FIOgrp-42rplc-10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как, в судебном заседании установлено, что ущерб был причинен ответчиком </w:t>
      </w:r>
      <w:r>
        <w:rPr>
          <w:rStyle w:val="cat-FIOgrp-36rplc-10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суд отказывает в иске к ответчику </w:t>
      </w:r>
      <w:r>
        <w:rPr>
          <w:rStyle w:val="cat-FIOgrp-42rplc-10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Разрешая требования истца о взыскании с ответчика процентов за пользов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чужими денежными средствами за период с </w:t>
      </w:r>
      <w:r>
        <w:rPr>
          <w:rStyle w:val="cat-Dategrp-11rplc-1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1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52rplc-10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за период с </w:t>
      </w:r>
      <w:r>
        <w:rPr>
          <w:rStyle w:val="cat-Dategrp-13rplc-10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полного исполнения обязательств,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6" w:anchor="/document/10164072/entry/39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 ст.395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ГК РФ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anchor="/document/71360358/entry/5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п.57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РФ от </w:t>
      </w:r>
      <w:r>
        <w:rPr>
          <w:rStyle w:val="cat-Dategrp-28rplc-1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№7 «О применении судами некоторых положений </w:t>
      </w:r>
      <w:hyperlink r:id="rId6" w:anchor="/document/1016407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Гражданского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ответственности за нарушение обязательств» обязанность причинителя вреда по уплате процентов,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0164072/entry/39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395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ГК РФ, возникает со дня вступления в законную силу решения суда, которым удовлетворено требование потерпевшего о возмещении причиненных убытков, если иной момент не указан в законе, при просрочке их уплаты должником.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 связи с вступлением в силу решения суда о взыскании ущерба на стороне должника возникает денежное обязательство, неисполнение которого влечет уплату процентов,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0164072/entry/39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395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возникших между сторонами правоотношений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причинения вреда </w:t>
      </w:r>
      <w:r>
        <w:rPr>
          <w:rFonts w:ascii="Times New Roman" w:eastAsia="Times New Roman" w:hAnsi="Times New Roman" w:cs="Times New Roman"/>
          <w:sz w:val="28"/>
          <w:szCs w:val="28"/>
        </w:rPr>
        <w:t>(деликтные обязательства), право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взыскание процентов в порядке </w:t>
      </w:r>
      <w:hyperlink r:id="rId6" w:anchor="/document/10164072/entry/39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395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ГК РФ у истца ещё не возникло, поскольку денежное обязательство возникает только после вступления решения суда о возмещении ущерба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взыскания процентов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11rplc-1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дня вступления в законную силу решения суда удовлетворению не подлежат.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суд считает обоснованным взыскание с ответчика в пользу истца процентов за пользование чужими денежными средства, в порядке ст.395 ГК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начисляемые на сумму </w:t>
      </w:r>
      <w:r>
        <w:rPr>
          <w:rStyle w:val="cat-Sumgrp-55rplc-1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в законную силу решение суда по день исполнения обязательств.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Разрешая требования истца о распределении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6" w:anchor="/document/12128809/entry/8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ст.88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 судебные расходы состоят из государственной пошлины и издержек, связанных с рассмотрением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6" w:anchor="/document/12128809/entry/94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6" w:anchor="/document/12128809/entry/94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9 ст.94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ГПК РФ к издержкам, связанным с рассмотрением дела, относятся в частности: расходы на оплату услуг представителей, другие признанные судом необходимыми расходы.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6" w:anchor="/document/12128809/entry/9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8809/entry/96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второй статьи 96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ч.1 ст.100 ГПК РФ стороне, в пользу которой состоялось решение суда, по её письменному ходатайству суд присуждает с другой стороны расходы на оплату услуг представителя в разумных пределах.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п.12 постановления Пленума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9rplc-1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 «О некоторых вопросах применения законодательства о возмещении издержек, связанных с рассмотрением дела»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>асходы на оплату услуг представителя, понесенные лицом, в пользу которого принят судебный акт, взыскиваются судом с другого лица, участвующего в деле, в разумных пределах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1 статьи 100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112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КАС РФ,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2 статьи 110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АПК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неполном (частичном)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 (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100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111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КАС РФ,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110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АПК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расходов на оплату услуг представителя, подлежащих взысканию в пользу истца, мировой судья учитывает сложность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 проделанной представителем работы в суде первой инстанции</w:t>
      </w:r>
      <w:r>
        <w:rPr>
          <w:rFonts w:ascii="Times New Roman" w:eastAsia="Times New Roman" w:hAnsi="Times New Roman" w:cs="Times New Roman"/>
          <w:sz w:val="28"/>
          <w:szCs w:val="28"/>
        </w:rPr>
        <w:t>, в частности: участие в трех судебных заседаниях</w:t>
      </w:r>
      <w:r>
        <w:rPr>
          <w:rFonts w:ascii="Times New Roman" w:eastAsia="Times New Roman" w:hAnsi="Times New Roman" w:cs="Times New Roman"/>
          <w:sz w:val="28"/>
          <w:szCs w:val="28"/>
        </w:rPr>
        <w:t>, вступление в дело после проведения судебной экспертизы,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характера спора,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 нарушенного права, с учетом принципа разумности и справедливости, полагает необходимым взыскать с ответчика в пользу истца расходы на оплату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 представителя в размере </w:t>
      </w:r>
      <w:r>
        <w:rPr>
          <w:rStyle w:val="cat-Sumgrp-56rplc-1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сумма соответствует объему оказанной юридической помощи по настоящему делу, обеспечивает баланс процессуальных прав и обязанностей сторон.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Вопреки доводам 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подлежат взысканию с ответчика расходы истца по оплате оценки поврежденного имущества в сумме </w:t>
      </w:r>
      <w:r>
        <w:rPr>
          <w:rStyle w:val="cat-Sumgrp-49rplc-1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так как, по мнению суда данные расходы является необходимыми для определения цены иска.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6" w:anchor="/document/10900200/entry/333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333.19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(далее-НК РФ)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 порядок определения размера государственной пошлины, подлежащей оплате при подаче искового заявления в суд.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подп.1 п.1 ст.333.19 НК РФ по делам, рассматриваемым, в том числе, и мировыми судьями, государственная пошлина уплачивается при подаче искового заявления имущественного характера при цене иска до </w:t>
      </w:r>
      <w:r>
        <w:rPr>
          <w:rStyle w:val="cat-Sumgrp-57rplc-1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Sumgrp-58rplc-1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норма не подлежит применению при распределении между сторонами судебных расходов, понесенных в связи с рассмотрением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распределения судебных расходов установлены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8809/entry/10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общему правилу, предусмотренному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8809/entry/9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ГПК РФ</w:t>
      </w:r>
      <w:r>
        <w:rPr>
          <w:rFonts w:ascii="Times New Roman" w:eastAsia="Times New Roman" w:hAnsi="Times New Roman" w:cs="Times New Roman"/>
          <w:sz w:val="28"/>
          <w:szCs w:val="28"/>
        </w:rPr>
        <w:t>, стороне, в пользу которой состоялось решение суда, суд присуждает возместить с другой стороны все понесенные по делу судебные расходы.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ст.103 ГПК РФ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тивам отчислений, установленным </w:t>
      </w:r>
      <w:hyperlink r:id="rId5" w:anchor="/document/12112604/entry/5000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бюджетным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подп.3 п.2 ст.333.36 КоАП РФ от уплаты государственной пошлины по дела, рассматриваемым мировыми судьями освобождаются ветераны боевых действий.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представленному в материалы дела копии удостоверения серии РМ №0109167, выданному </w:t>
      </w:r>
      <w:r>
        <w:rPr>
          <w:rStyle w:val="cat-Dategrp-30rplc-1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ветераном боевых действий, следовательно, истец освобожден от уплаты государственной пошлины.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решением суда удовлетворены требования имущественного характера в сумме </w:t>
      </w:r>
      <w:r>
        <w:rPr>
          <w:rStyle w:val="cat-Sumgrp-51rplc-1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уплате подлежала государственная пошлина в размере </w:t>
      </w:r>
      <w:r>
        <w:rPr>
          <w:rStyle w:val="cat-Sumgrp-59rplc-12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осударственная пошлина, от уплаты которой истец освобожден, должна быть взыскана с ответчика в доход бюджета, в связи с чем, с ответчика подлежит взысканию государственная пошлина в размере </w:t>
      </w:r>
      <w:r>
        <w:rPr>
          <w:rStyle w:val="cat-Sumgrp-58rplc-1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требование имущественного характера.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ст.ст.194-199 ГПК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left="11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38rplc-1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62rplc-1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68rplc-1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69rplc-1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39rplc-1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63rplc-1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67rplc-1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66rplc-1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>
        <w:rPr>
          <w:rStyle w:val="cat-FIOgrp-40rplc-1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ущерба, причиненного повреждением имущества,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 частично.</w:t>
      </w:r>
    </w:p>
    <w:p>
      <w:pPr>
        <w:spacing w:before="0" w:after="0"/>
        <w:ind w:left="11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46rplc-1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38rplc-1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размере </w:t>
      </w:r>
      <w:r>
        <w:rPr>
          <w:rStyle w:val="cat-Sumgrp-51rplc-1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возмещения ущерба.</w:t>
      </w:r>
    </w:p>
    <w:p>
      <w:pPr>
        <w:spacing w:before="0" w:after="0"/>
        <w:ind w:left="11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46rplc-1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38rplc-1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в порядке ст.395 ГК РФ, начисляемые на сумму </w:t>
      </w:r>
      <w:r>
        <w:rPr>
          <w:rStyle w:val="cat-Sumgrp-51rplc-1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в законную силу решение суда по день исполнения обязательства.</w:t>
      </w:r>
    </w:p>
    <w:p>
      <w:pPr>
        <w:spacing w:before="0" w:after="0"/>
        <w:ind w:left="11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</w:t>
      </w:r>
      <w:r>
        <w:rPr>
          <w:rStyle w:val="cat-FIOgrp-46rplc-1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38rplc-1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услуг по оценке ущерба в сумме </w:t>
      </w:r>
      <w:r>
        <w:rPr>
          <w:rStyle w:val="cat-Sumgrp-49rplc-1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на оказание юридических услуг в сумме </w:t>
      </w:r>
      <w:r>
        <w:rPr>
          <w:rStyle w:val="cat-Sumgrp-60rplc-14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11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46rplc-1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бюджета государственную пошлину в размере </w:t>
      </w:r>
      <w:r>
        <w:rPr>
          <w:rStyle w:val="cat-Sumgrp-59rplc-14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11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к </w:t>
      </w:r>
      <w:r>
        <w:rPr>
          <w:rStyle w:val="cat-FIOgrp-40rplc-1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требований о взыскании процентов за пользование чужими денежными средствами за период с </w:t>
      </w:r>
      <w:r>
        <w:rPr>
          <w:rStyle w:val="cat-Dategrp-11rplc-1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1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Dategrp-13rplc-1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дня вступления в законную силу решения суда, расходов по оплате юридических услуг в размере </w:t>
      </w:r>
      <w:r>
        <w:rPr>
          <w:rStyle w:val="cat-Sumgrp-61rplc-1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составлено </w:t>
      </w:r>
      <w:r>
        <w:rPr>
          <w:rStyle w:val="cat-Dategrp-31rplc-1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заявлению ответчика.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7rplc-15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47rplc-1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1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66023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32rplc-4">
    <w:name w:val="cat-FIO grp-32 rplc-4"/>
    <w:basedOn w:val="DefaultParagraphFont"/>
  </w:style>
  <w:style w:type="character" w:customStyle="1" w:styleId="cat-FIOgrp-33rplc-5">
    <w:name w:val="cat-FIO grp-33 rplc-5"/>
    <w:basedOn w:val="DefaultParagraphFont"/>
  </w:style>
  <w:style w:type="character" w:customStyle="1" w:styleId="cat-FIOgrp-34rplc-6">
    <w:name w:val="cat-FIO grp-34 rplc-6"/>
    <w:basedOn w:val="DefaultParagraphFont"/>
  </w:style>
  <w:style w:type="character" w:customStyle="1" w:styleId="cat-FIOgrp-35rplc-7">
    <w:name w:val="cat-FIO grp-35 rplc-7"/>
    <w:basedOn w:val="DefaultParagraphFont"/>
  </w:style>
  <w:style w:type="character" w:customStyle="1" w:styleId="cat-FIOgrp-36rplc-8">
    <w:name w:val="cat-FIO grp-36 rplc-8"/>
    <w:basedOn w:val="DefaultParagraphFont"/>
  </w:style>
  <w:style w:type="character" w:customStyle="1" w:styleId="cat-FIOgrp-36rplc-9">
    <w:name w:val="cat-FIO grp-36 rplc-9"/>
    <w:basedOn w:val="DefaultParagraphFont"/>
  </w:style>
  <w:style w:type="character" w:customStyle="1" w:styleId="cat-FIOgrp-37rplc-10">
    <w:name w:val="cat-FIO grp-37 rplc-10"/>
    <w:basedOn w:val="DefaultParagraphFont"/>
  </w:style>
  <w:style w:type="character" w:customStyle="1" w:styleId="cat-FIOgrp-38rplc-11">
    <w:name w:val="cat-FIO grp-38 rplc-11"/>
    <w:basedOn w:val="DefaultParagraphFont"/>
  </w:style>
  <w:style w:type="character" w:customStyle="1" w:styleId="cat-FIOgrp-39rplc-12">
    <w:name w:val="cat-FIO grp-39 rplc-12"/>
    <w:basedOn w:val="DefaultParagraphFont"/>
  </w:style>
  <w:style w:type="character" w:customStyle="1" w:styleId="cat-FIOgrp-40rplc-13">
    <w:name w:val="cat-FIO grp-40 rplc-13"/>
    <w:basedOn w:val="DefaultParagraphFont"/>
  </w:style>
  <w:style w:type="character" w:customStyle="1" w:styleId="cat-FIOgrp-34rplc-14">
    <w:name w:val="cat-FIO grp-34 rplc-14"/>
    <w:basedOn w:val="DefaultParagraphFont"/>
  </w:style>
  <w:style w:type="character" w:customStyle="1" w:styleId="cat-FIOgrp-36rplc-15">
    <w:name w:val="cat-FIO grp-36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36rplc-18">
    <w:name w:val="cat-FIO grp-36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OrganizationNamegrp-64rplc-23">
    <w:name w:val="cat-OrganizationName grp-64 rplc-23"/>
    <w:basedOn w:val="DefaultParagraphFont"/>
  </w:style>
  <w:style w:type="character" w:customStyle="1" w:styleId="cat-Sumgrp-48rplc-24">
    <w:name w:val="cat-Sum grp-48 rplc-24"/>
    <w:basedOn w:val="DefaultParagraphFont"/>
  </w:style>
  <w:style w:type="character" w:customStyle="1" w:styleId="cat-Sumgrp-49rplc-25">
    <w:name w:val="cat-Sum grp-49 rplc-25"/>
    <w:basedOn w:val="DefaultParagraphFont"/>
  </w:style>
  <w:style w:type="character" w:customStyle="1" w:styleId="cat-Sumgrp-50rplc-26">
    <w:name w:val="cat-Sum grp-50 rplc-26"/>
    <w:basedOn w:val="DefaultParagraphFont"/>
  </w:style>
  <w:style w:type="character" w:customStyle="1" w:styleId="cat-Sumgrp-49rplc-27">
    <w:name w:val="cat-Sum grp-49 rplc-27"/>
    <w:basedOn w:val="DefaultParagraphFont"/>
  </w:style>
  <w:style w:type="character" w:customStyle="1" w:styleId="cat-FIOgrp-36rplc-28">
    <w:name w:val="cat-FIO grp-36 rplc-28"/>
    <w:basedOn w:val="DefaultParagraphFont"/>
  </w:style>
  <w:style w:type="character" w:customStyle="1" w:styleId="cat-Sumgrp-51rplc-29">
    <w:name w:val="cat-Sum grp-51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Sumgrp-52rplc-32">
    <w:name w:val="cat-Sum grp-52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Sumgrp-51rplc-34">
    <w:name w:val="cat-Sum grp-51 rplc-34"/>
    <w:basedOn w:val="DefaultParagraphFont"/>
  </w:style>
  <w:style w:type="character" w:customStyle="1" w:styleId="cat-Sumgrp-49rplc-35">
    <w:name w:val="cat-Sum grp-49 rplc-35"/>
    <w:basedOn w:val="DefaultParagraphFont"/>
  </w:style>
  <w:style w:type="character" w:customStyle="1" w:styleId="cat-Sumgrp-53rplc-36">
    <w:name w:val="cat-Sum grp-53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FIOgrp-41rplc-39">
    <w:name w:val="cat-FIO grp-41 rplc-39"/>
    <w:basedOn w:val="DefaultParagraphFont"/>
  </w:style>
  <w:style w:type="character" w:customStyle="1" w:styleId="cat-Dategrp-15rplc-40">
    <w:name w:val="cat-Date grp-15 rplc-40"/>
    <w:basedOn w:val="DefaultParagraphFont"/>
  </w:style>
  <w:style w:type="character" w:customStyle="1" w:styleId="cat-Dategrp-16rplc-41">
    <w:name w:val="cat-Date grp-16 rplc-41"/>
    <w:basedOn w:val="DefaultParagraphFont"/>
  </w:style>
  <w:style w:type="character" w:customStyle="1" w:styleId="cat-FIOgrp-36rplc-42">
    <w:name w:val="cat-FIO grp-36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FIOgrp-40rplc-44">
    <w:name w:val="cat-FIO grp-40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FIOgrp-36rplc-46">
    <w:name w:val="cat-FIO grp-36 rplc-46"/>
    <w:basedOn w:val="DefaultParagraphFont"/>
  </w:style>
  <w:style w:type="character" w:customStyle="1" w:styleId="cat-FIOgrp-40rplc-47">
    <w:name w:val="cat-FIO grp-40 rplc-47"/>
    <w:basedOn w:val="DefaultParagraphFont"/>
  </w:style>
  <w:style w:type="character" w:customStyle="1" w:styleId="cat-Dategrp-17rplc-48">
    <w:name w:val="cat-Date grp-17 rplc-48"/>
    <w:basedOn w:val="DefaultParagraphFont"/>
  </w:style>
  <w:style w:type="character" w:customStyle="1" w:styleId="cat-FIOgrp-42rplc-49">
    <w:name w:val="cat-FIO grp-42 rplc-49"/>
    <w:basedOn w:val="DefaultParagraphFont"/>
  </w:style>
  <w:style w:type="character" w:customStyle="1" w:styleId="cat-Dategrp-18rplc-50">
    <w:name w:val="cat-Date grp-18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FIOgrp-36rplc-53">
    <w:name w:val="cat-FIO grp-36 rplc-53"/>
    <w:basedOn w:val="DefaultParagraphFont"/>
  </w:style>
  <w:style w:type="character" w:customStyle="1" w:styleId="cat-Addressgrp-0rplc-54">
    <w:name w:val="cat-Address grp-0 rplc-54"/>
    <w:basedOn w:val="DefaultParagraphFont"/>
  </w:style>
  <w:style w:type="character" w:customStyle="1" w:styleId="cat-Addressgrp-3rplc-55">
    <w:name w:val="cat-Address grp-3 rplc-55"/>
    <w:basedOn w:val="DefaultParagraphFont"/>
  </w:style>
  <w:style w:type="character" w:customStyle="1" w:styleId="cat-Dategrp-19rplc-56">
    <w:name w:val="cat-Date grp-19 rplc-56"/>
    <w:basedOn w:val="DefaultParagraphFont"/>
  </w:style>
  <w:style w:type="character" w:customStyle="1" w:styleId="cat-Addressgrp-3rplc-57">
    <w:name w:val="cat-Address grp-3 rplc-57"/>
    <w:basedOn w:val="DefaultParagraphFont"/>
  </w:style>
  <w:style w:type="character" w:customStyle="1" w:styleId="cat-Dategrp-20rplc-58">
    <w:name w:val="cat-Date grp-20 rplc-58"/>
    <w:basedOn w:val="DefaultParagraphFont"/>
  </w:style>
  <w:style w:type="character" w:customStyle="1" w:styleId="cat-FIOgrp-34rplc-59">
    <w:name w:val="cat-FIO grp-34 rplc-59"/>
    <w:basedOn w:val="DefaultParagraphFont"/>
  </w:style>
  <w:style w:type="character" w:customStyle="1" w:styleId="cat-Addressgrp-3rplc-60">
    <w:name w:val="cat-Address grp-3 rplc-60"/>
    <w:basedOn w:val="DefaultParagraphFont"/>
  </w:style>
  <w:style w:type="character" w:customStyle="1" w:styleId="cat-Dategrp-9rplc-61">
    <w:name w:val="cat-Date grp-9 rplc-61"/>
    <w:basedOn w:val="DefaultParagraphFont"/>
  </w:style>
  <w:style w:type="character" w:customStyle="1" w:styleId="cat-Dategrp-21rplc-62">
    <w:name w:val="cat-Date grp-21 rplc-62"/>
    <w:basedOn w:val="DefaultParagraphFont"/>
  </w:style>
  <w:style w:type="character" w:customStyle="1" w:styleId="cat-FIOgrp-36rplc-63">
    <w:name w:val="cat-FIO grp-36 rplc-63"/>
    <w:basedOn w:val="DefaultParagraphFont"/>
  </w:style>
  <w:style w:type="character" w:customStyle="1" w:styleId="cat-Addressgrp-3rplc-64">
    <w:name w:val="cat-Address grp-3 rplc-64"/>
    <w:basedOn w:val="DefaultParagraphFont"/>
  </w:style>
  <w:style w:type="character" w:customStyle="1" w:styleId="cat-FIOgrp-43rplc-65">
    <w:name w:val="cat-FIO grp-43 rplc-65"/>
    <w:basedOn w:val="DefaultParagraphFont"/>
  </w:style>
  <w:style w:type="character" w:customStyle="1" w:styleId="cat-FIOgrp-34rplc-66">
    <w:name w:val="cat-FIO grp-34 rplc-66"/>
    <w:basedOn w:val="DefaultParagraphFont"/>
  </w:style>
  <w:style w:type="character" w:customStyle="1" w:styleId="cat-Dategrp-22rplc-67">
    <w:name w:val="cat-Date grp-22 rplc-67"/>
    <w:basedOn w:val="DefaultParagraphFont"/>
  </w:style>
  <w:style w:type="character" w:customStyle="1" w:styleId="cat-Dategrp-23rplc-68">
    <w:name w:val="cat-Date grp-23 rplc-68"/>
    <w:basedOn w:val="DefaultParagraphFont"/>
  </w:style>
  <w:style w:type="character" w:customStyle="1" w:styleId="cat-FIOgrp-36rplc-69">
    <w:name w:val="cat-FIO grp-36 rplc-69"/>
    <w:basedOn w:val="DefaultParagraphFont"/>
  </w:style>
  <w:style w:type="character" w:customStyle="1" w:styleId="cat-FIOgrp-36rplc-70">
    <w:name w:val="cat-FIO grp-36 rplc-70"/>
    <w:basedOn w:val="DefaultParagraphFont"/>
  </w:style>
  <w:style w:type="character" w:customStyle="1" w:styleId="cat-FIOgrp-34rplc-71">
    <w:name w:val="cat-FIO grp-34 rplc-71"/>
    <w:basedOn w:val="DefaultParagraphFont"/>
  </w:style>
  <w:style w:type="character" w:customStyle="1" w:styleId="cat-FIOgrp-34rplc-72">
    <w:name w:val="cat-FIO grp-34 rplc-72"/>
    <w:basedOn w:val="DefaultParagraphFont"/>
  </w:style>
  <w:style w:type="character" w:customStyle="1" w:styleId="cat-FIOgrp-36rplc-73">
    <w:name w:val="cat-FIO grp-36 rplc-73"/>
    <w:basedOn w:val="DefaultParagraphFont"/>
  </w:style>
  <w:style w:type="character" w:customStyle="1" w:styleId="cat-FIOgrp-44rplc-74">
    <w:name w:val="cat-FIO grp-44 rplc-74"/>
    <w:basedOn w:val="DefaultParagraphFont"/>
  </w:style>
  <w:style w:type="character" w:customStyle="1" w:styleId="cat-FIOgrp-44rplc-75">
    <w:name w:val="cat-FIO grp-44 rplc-75"/>
    <w:basedOn w:val="DefaultParagraphFont"/>
  </w:style>
  <w:style w:type="character" w:customStyle="1" w:styleId="cat-Dategrp-24rplc-76">
    <w:name w:val="cat-Date grp-24 rplc-76"/>
    <w:basedOn w:val="DefaultParagraphFont"/>
  </w:style>
  <w:style w:type="character" w:customStyle="1" w:styleId="cat-FIOgrp-34rplc-77">
    <w:name w:val="cat-FIO grp-34 rplc-77"/>
    <w:basedOn w:val="DefaultParagraphFont"/>
  </w:style>
  <w:style w:type="character" w:customStyle="1" w:styleId="cat-FIOgrp-36rplc-78">
    <w:name w:val="cat-FIO grp-36 rplc-78"/>
    <w:basedOn w:val="DefaultParagraphFont"/>
  </w:style>
  <w:style w:type="character" w:customStyle="1" w:styleId="cat-FIOgrp-36rplc-79">
    <w:name w:val="cat-FIO grp-36 rplc-79"/>
    <w:basedOn w:val="DefaultParagraphFont"/>
  </w:style>
  <w:style w:type="character" w:customStyle="1" w:styleId="cat-FIOgrp-36rplc-80">
    <w:name w:val="cat-FIO grp-36 rplc-80"/>
    <w:basedOn w:val="DefaultParagraphFont"/>
  </w:style>
  <w:style w:type="character" w:customStyle="1" w:styleId="cat-FIOgrp-36rplc-81">
    <w:name w:val="cat-FIO grp-36 rplc-81"/>
    <w:basedOn w:val="DefaultParagraphFont"/>
  </w:style>
  <w:style w:type="character" w:customStyle="1" w:styleId="cat-FIOgrp-44rplc-82">
    <w:name w:val="cat-FIO grp-44 rplc-82"/>
    <w:basedOn w:val="DefaultParagraphFont"/>
  </w:style>
  <w:style w:type="character" w:customStyle="1" w:styleId="cat-OrganizationNamegrp-64rplc-83">
    <w:name w:val="cat-OrganizationName grp-64 rplc-83"/>
    <w:basedOn w:val="DefaultParagraphFont"/>
  </w:style>
  <w:style w:type="character" w:customStyle="1" w:styleId="cat-Sumgrp-48rplc-84">
    <w:name w:val="cat-Sum grp-48 rplc-84"/>
    <w:basedOn w:val="DefaultParagraphFont"/>
  </w:style>
  <w:style w:type="character" w:customStyle="1" w:styleId="cat-Sumgrp-49rplc-85">
    <w:name w:val="cat-Sum grp-49 rplc-85"/>
    <w:basedOn w:val="DefaultParagraphFont"/>
  </w:style>
  <w:style w:type="character" w:customStyle="1" w:styleId="cat-Dategrp-25rplc-86">
    <w:name w:val="cat-Date grp-25 rplc-86"/>
    <w:basedOn w:val="DefaultParagraphFont"/>
  </w:style>
  <w:style w:type="character" w:customStyle="1" w:styleId="cat-OrganizationNamegrp-65rplc-87">
    <w:name w:val="cat-OrganizationName grp-65 rplc-87"/>
    <w:basedOn w:val="DefaultParagraphFont"/>
  </w:style>
  <w:style w:type="character" w:customStyle="1" w:styleId="cat-Dategrp-26rplc-88">
    <w:name w:val="cat-Date grp-26 rplc-88"/>
    <w:basedOn w:val="DefaultParagraphFont"/>
  </w:style>
  <w:style w:type="character" w:customStyle="1" w:styleId="cat-Dategrp-27rplc-89">
    <w:name w:val="cat-Date grp-27 rplc-89"/>
    <w:basedOn w:val="DefaultParagraphFont"/>
  </w:style>
  <w:style w:type="character" w:customStyle="1" w:styleId="cat-Sumgrp-51rplc-90">
    <w:name w:val="cat-Sum grp-51 rplc-90"/>
    <w:basedOn w:val="DefaultParagraphFont"/>
  </w:style>
  <w:style w:type="character" w:customStyle="1" w:styleId="cat-Sumgrp-54rplc-91">
    <w:name w:val="cat-Sum grp-54 rplc-91"/>
    <w:basedOn w:val="DefaultParagraphFont"/>
  </w:style>
  <w:style w:type="character" w:customStyle="1" w:styleId="cat-FIOgrp-45rplc-92">
    <w:name w:val="cat-FIO grp-45 rplc-92"/>
    <w:basedOn w:val="DefaultParagraphFont"/>
  </w:style>
  <w:style w:type="character" w:customStyle="1" w:styleId="cat-Addressgrp-0rplc-93">
    <w:name w:val="cat-Address grp-0 rplc-93"/>
    <w:basedOn w:val="DefaultParagraphFont"/>
  </w:style>
  <w:style w:type="character" w:customStyle="1" w:styleId="cat-Addressgrp-0rplc-94">
    <w:name w:val="cat-Address grp-0 rplc-94"/>
    <w:basedOn w:val="DefaultParagraphFont"/>
  </w:style>
  <w:style w:type="character" w:customStyle="1" w:styleId="cat-FIOgrp-36rplc-95">
    <w:name w:val="cat-FIO grp-36 rplc-95"/>
    <w:basedOn w:val="DefaultParagraphFont"/>
  </w:style>
  <w:style w:type="character" w:customStyle="1" w:styleId="cat-FIOgrp-34rplc-96">
    <w:name w:val="cat-FIO grp-34 rplc-96"/>
    <w:basedOn w:val="DefaultParagraphFont"/>
  </w:style>
  <w:style w:type="character" w:customStyle="1" w:styleId="cat-Sumgrp-55rplc-97">
    <w:name w:val="cat-Sum grp-55 rplc-97"/>
    <w:basedOn w:val="DefaultParagraphFont"/>
  </w:style>
  <w:style w:type="character" w:customStyle="1" w:styleId="cat-Dategrp-26rplc-98">
    <w:name w:val="cat-Date grp-26 rplc-98"/>
    <w:basedOn w:val="DefaultParagraphFont"/>
  </w:style>
  <w:style w:type="character" w:customStyle="1" w:styleId="cat-Dategrp-27rplc-99">
    <w:name w:val="cat-Date grp-27 rplc-99"/>
    <w:basedOn w:val="DefaultParagraphFont"/>
  </w:style>
  <w:style w:type="character" w:customStyle="1" w:styleId="cat-FIOgrp-36rplc-100">
    <w:name w:val="cat-FIO grp-36 rplc-100"/>
    <w:basedOn w:val="DefaultParagraphFont"/>
  </w:style>
  <w:style w:type="character" w:customStyle="1" w:styleId="cat-Dategrp-26rplc-101">
    <w:name w:val="cat-Date grp-26 rplc-101"/>
    <w:basedOn w:val="DefaultParagraphFont"/>
  </w:style>
  <w:style w:type="character" w:customStyle="1" w:styleId="cat-Dategrp-27rplc-102">
    <w:name w:val="cat-Date grp-27 rplc-102"/>
    <w:basedOn w:val="DefaultParagraphFont"/>
  </w:style>
  <w:style w:type="character" w:customStyle="1" w:styleId="cat-FIOgrp-42rplc-103">
    <w:name w:val="cat-FIO grp-42 rplc-103"/>
    <w:basedOn w:val="DefaultParagraphFont"/>
  </w:style>
  <w:style w:type="character" w:customStyle="1" w:styleId="cat-FIOgrp-36rplc-104">
    <w:name w:val="cat-FIO grp-36 rplc-104"/>
    <w:basedOn w:val="DefaultParagraphFont"/>
  </w:style>
  <w:style w:type="character" w:customStyle="1" w:styleId="cat-FIOgrp-42rplc-105">
    <w:name w:val="cat-FIO grp-42 rplc-105"/>
    <w:basedOn w:val="DefaultParagraphFont"/>
  </w:style>
  <w:style w:type="character" w:customStyle="1" w:styleId="cat-Dategrp-11rplc-106">
    <w:name w:val="cat-Date grp-11 rplc-106"/>
    <w:basedOn w:val="DefaultParagraphFont"/>
  </w:style>
  <w:style w:type="character" w:customStyle="1" w:styleId="cat-Dategrp-12rplc-107">
    <w:name w:val="cat-Date grp-12 rplc-107"/>
    <w:basedOn w:val="DefaultParagraphFont"/>
  </w:style>
  <w:style w:type="character" w:customStyle="1" w:styleId="cat-Sumgrp-52rplc-108">
    <w:name w:val="cat-Sum grp-52 rplc-108"/>
    <w:basedOn w:val="DefaultParagraphFont"/>
  </w:style>
  <w:style w:type="character" w:customStyle="1" w:styleId="cat-Dategrp-13rplc-109">
    <w:name w:val="cat-Date grp-13 rplc-109"/>
    <w:basedOn w:val="DefaultParagraphFont"/>
  </w:style>
  <w:style w:type="character" w:customStyle="1" w:styleId="cat-Dategrp-28rplc-110">
    <w:name w:val="cat-Date grp-28 rplc-110"/>
    <w:basedOn w:val="DefaultParagraphFont"/>
  </w:style>
  <w:style w:type="character" w:customStyle="1" w:styleId="cat-Dategrp-11rplc-111">
    <w:name w:val="cat-Date grp-11 rplc-111"/>
    <w:basedOn w:val="DefaultParagraphFont"/>
  </w:style>
  <w:style w:type="character" w:customStyle="1" w:styleId="cat-Sumgrp-55rplc-112">
    <w:name w:val="cat-Sum grp-55 rplc-112"/>
    <w:basedOn w:val="DefaultParagraphFont"/>
  </w:style>
  <w:style w:type="character" w:customStyle="1" w:styleId="cat-Dategrp-29rplc-113">
    <w:name w:val="cat-Date grp-29 rplc-113"/>
    <w:basedOn w:val="DefaultParagraphFont"/>
  </w:style>
  <w:style w:type="character" w:customStyle="1" w:styleId="cat-Sumgrp-56rplc-114">
    <w:name w:val="cat-Sum grp-56 rplc-114"/>
    <w:basedOn w:val="DefaultParagraphFont"/>
  </w:style>
  <w:style w:type="character" w:customStyle="1" w:styleId="cat-Sumgrp-49rplc-115">
    <w:name w:val="cat-Sum grp-49 rplc-115"/>
    <w:basedOn w:val="DefaultParagraphFont"/>
  </w:style>
  <w:style w:type="character" w:customStyle="1" w:styleId="cat-Sumgrp-57rplc-116">
    <w:name w:val="cat-Sum grp-57 rplc-116"/>
    <w:basedOn w:val="DefaultParagraphFont"/>
  </w:style>
  <w:style w:type="character" w:customStyle="1" w:styleId="cat-Sumgrp-58rplc-117">
    <w:name w:val="cat-Sum grp-58 rplc-117"/>
    <w:basedOn w:val="DefaultParagraphFont"/>
  </w:style>
  <w:style w:type="character" w:customStyle="1" w:styleId="cat-Dategrp-30rplc-118">
    <w:name w:val="cat-Date grp-30 rplc-118"/>
    <w:basedOn w:val="DefaultParagraphFont"/>
  </w:style>
  <w:style w:type="character" w:customStyle="1" w:styleId="cat-FIOgrp-34rplc-119">
    <w:name w:val="cat-FIO grp-34 rplc-119"/>
    <w:basedOn w:val="DefaultParagraphFont"/>
  </w:style>
  <w:style w:type="character" w:customStyle="1" w:styleId="cat-Sumgrp-51rplc-120">
    <w:name w:val="cat-Sum grp-51 rplc-120"/>
    <w:basedOn w:val="DefaultParagraphFont"/>
  </w:style>
  <w:style w:type="character" w:customStyle="1" w:styleId="cat-Sumgrp-59rplc-121">
    <w:name w:val="cat-Sum grp-59 rplc-121"/>
    <w:basedOn w:val="DefaultParagraphFont"/>
  </w:style>
  <w:style w:type="character" w:customStyle="1" w:styleId="cat-Sumgrp-58rplc-122">
    <w:name w:val="cat-Sum grp-58 rplc-122"/>
    <w:basedOn w:val="DefaultParagraphFont"/>
  </w:style>
  <w:style w:type="character" w:customStyle="1" w:styleId="cat-FIOgrp-38rplc-123">
    <w:name w:val="cat-FIO grp-38 rplc-123"/>
    <w:basedOn w:val="DefaultParagraphFont"/>
  </w:style>
  <w:style w:type="character" w:customStyle="1" w:styleId="cat-PassportDatagrp-62rplc-124">
    <w:name w:val="cat-PassportData grp-62 rplc-124"/>
    <w:basedOn w:val="DefaultParagraphFont"/>
  </w:style>
  <w:style w:type="character" w:customStyle="1" w:styleId="cat-ExternalSystemDefinedgrp-68rplc-125">
    <w:name w:val="cat-ExternalSystemDefined grp-68 rplc-125"/>
    <w:basedOn w:val="DefaultParagraphFont"/>
  </w:style>
  <w:style w:type="character" w:customStyle="1" w:styleId="cat-ExternalSystemDefinedgrp-69rplc-126">
    <w:name w:val="cat-ExternalSystemDefined grp-69 rplc-126"/>
    <w:basedOn w:val="DefaultParagraphFont"/>
  </w:style>
  <w:style w:type="character" w:customStyle="1" w:styleId="cat-FIOgrp-39rplc-127">
    <w:name w:val="cat-FIO grp-39 rplc-127"/>
    <w:basedOn w:val="DefaultParagraphFont"/>
  </w:style>
  <w:style w:type="character" w:customStyle="1" w:styleId="cat-PassportDatagrp-63rplc-128">
    <w:name w:val="cat-PassportData grp-63 rplc-128"/>
    <w:basedOn w:val="DefaultParagraphFont"/>
  </w:style>
  <w:style w:type="character" w:customStyle="1" w:styleId="cat-ExternalSystemDefinedgrp-67rplc-129">
    <w:name w:val="cat-ExternalSystemDefined grp-67 rplc-129"/>
    <w:basedOn w:val="DefaultParagraphFont"/>
  </w:style>
  <w:style w:type="character" w:customStyle="1" w:styleId="cat-ExternalSystemDefinedgrp-66rplc-130">
    <w:name w:val="cat-ExternalSystemDefined grp-66 rplc-130"/>
    <w:basedOn w:val="DefaultParagraphFont"/>
  </w:style>
  <w:style w:type="character" w:customStyle="1" w:styleId="cat-FIOgrp-40rplc-131">
    <w:name w:val="cat-FIO grp-40 rplc-131"/>
    <w:basedOn w:val="DefaultParagraphFont"/>
  </w:style>
  <w:style w:type="character" w:customStyle="1" w:styleId="cat-FIOgrp-46rplc-132">
    <w:name w:val="cat-FIO grp-46 rplc-132"/>
    <w:basedOn w:val="DefaultParagraphFont"/>
  </w:style>
  <w:style w:type="character" w:customStyle="1" w:styleId="cat-FIOgrp-38rplc-133">
    <w:name w:val="cat-FIO grp-38 rplc-133"/>
    <w:basedOn w:val="DefaultParagraphFont"/>
  </w:style>
  <w:style w:type="character" w:customStyle="1" w:styleId="cat-Sumgrp-51rplc-134">
    <w:name w:val="cat-Sum grp-51 rplc-134"/>
    <w:basedOn w:val="DefaultParagraphFont"/>
  </w:style>
  <w:style w:type="character" w:customStyle="1" w:styleId="cat-FIOgrp-46rplc-135">
    <w:name w:val="cat-FIO grp-46 rplc-135"/>
    <w:basedOn w:val="DefaultParagraphFont"/>
  </w:style>
  <w:style w:type="character" w:customStyle="1" w:styleId="cat-FIOgrp-38rplc-136">
    <w:name w:val="cat-FIO grp-38 rplc-136"/>
    <w:basedOn w:val="DefaultParagraphFont"/>
  </w:style>
  <w:style w:type="character" w:customStyle="1" w:styleId="cat-Sumgrp-51rplc-137">
    <w:name w:val="cat-Sum grp-51 rplc-137"/>
    <w:basedOn w:val="DefaultParagraphFont"/>
  </w:style>
  <w:style w:type="character" w:customStyle="1" w:styleId="cat-FIOgrp-46rplc-138">
    <w:name w:val="cat-FIO grp-46 rplc-138"/>
    <w:basedOn w:val="DefaultParagraphFont"/>
  </w:style>
  <w:style w:type="character" w:customStyle="1" w:styleId="cat-FIOgrp-38rplc-139">
    <w:name w:val="cat-FIO grp-38 rplc-139"/>
    <w:basedOn w:val="DefaultParagraphFont"/>
  </w:style>
  <w:style w:type="character" w:customStyle="1" w:styleId="cat-Sumgrp-49rplc-140">
    <w:name w:val="cat-Sum grp-49 rplc-140"/>
    <w:basedOn w:val="DefaultParagraphFont"/>
  </w:style>
  <w:style w:type="character" w:customStyle="1" w:styleId="cat-Sumgrp-60rplc-141">
    <w:name w:val="cat-Sum grp-60 rplc-141"/>
    <w:basedOn w:val="DefaultParagraphFont"/>
  </w:style>
  <w:style w:type="character" w:customStyle="1" w:styleId="cat-FIOgrp-46rplc-142">
    <w:name w:val="cat-FIO grp-46 rplc-142"/>
    <w:basedOn w:val="DefaultParagraphFont"/>
  </w:style>
  <w:style w:type="character" w:customStyle="1" w:styleId="cat-Sumgrp-59rplc-143">
    <w:name w:val="cat-Sum grp-59 rplc-143"/>
    <w:basedOn w:val="DefaultParagraphFont"/>
  </w:style>
  <w:style w:type="character" w:customStyle="1" w:styleId="cat-FIOgrp-40rplc-144">
    <w:name w:val="cat-FIO grp-40 rplc-144"/>
    <w:basedOn w:val="DefaultParagraphFont"/>
  </w:style>
  <w:style w:type="character" w:customStyle="1" w:styleId="cat-Dategrp-11rplc-145">
    <w:name w:val="cat-Date grp-11 rplc-145"/>
    <w:basedOn w:val="DefaultParagraphFont"/>
  </w:style>
  <w:style w:type="character" w:customStyle="1" w:styleId="cat-Dategrp-12rplc-146">
    <w:name w:val="cat-Date grp-12 rplc-146"/>
    <w:basedOn w:val="DefaultParagraphFont"/>
  </w:style>
  <w:style w:type="character" w:customStyle="1" w:styleId="cat-Dategrp-13rplc-147">
    <w:name w:val="cat-Date grp-13 rplc-147"/>
    <w:basedOn w:val="DefaultParagraphFont"/>
  </w:style>
  <w:style w:type="character" w:customStyle="1" w:styleId="cat-Sumgrp-61rplc-148">
    <w:name w:val="cat-Sum grp-61 rplc-148"/>
    <w:basedOn w:val="DefaultParagraphFont"/>
  </w:style>
  <w:style w:type="character" w:customStyle="1" w:styleId="cat-Dategrp-31rplc-149">
    <w:name w:val="cat-Date grp-31 rplc-149"/>
    <w:basedOn w:val="DefaultParagraphFont"/>
  </w:style>
  <w:style w:type="character" w:customStyle="1" w:styleId="cat-FIOgrp-47rplc-150">
    <w:name w:val="cat-FIO grp-47 rplc-150"/>
    <w:basedOn w:val="DefaultParagraphFont"/>
  </w:style>
  <w:style w:type="character" w:customStyle="1" w:styleId="cat-FIOgrp-47rplc-151">
    <w:name w:val="cat-FIO grp-47 rplc-1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8809.98" TargetMode="External" /><Relationship Id="rId11" Type="http://schemas.openxmlformats.org/officeDocument/2006/relationships/hyperlink" Target="garantF1://12028809.100" TargetMode="External" /><Relationship Id="rId12" Type="http://schemas.openxmlformats.org/officeDocument/2006/relationships/hyperlink" Target="garantF1://70785220.111" TargetMode="External" /><Relationship Id="rId13" Type="http://schemas.openxmlformats.org/officeDocument/2006/relationships/hyperlink" Target="garantF1://12027526.110" TargetMode="External" /><Relationship Id="rId14" Type="http://schemas.openxmlformats.org/officeDocument/2006/relationships/header" Target="header1.xml" /><Relationship Id="rId15" Type="http://schemas.openxmlformats.org/officeDocument/2006/relationships/glossaryDocument" Target="glossary/document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garantF1://12028809.10010" TargetMode="External" /><Relationship Id="rId8" Type="http://schemas.openxmlformats.org/officeDocument/2006/relationships/hyperlink" Target="garantF1://70785220.112" TargetMode="External" /><Relationship Id="rId9" Type="http://schemas.openxmlformats.org/officeDocument/2006/relationships/hyperlink" Target="garantF1://12027526.11002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2BC96-83E4-4A65-9847-6A711A174EB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